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C67" w:rsidRPr="00FF2386" w:rsidRDefault="00850573" w:rsidP="008577EC">
      <w:pPr>
        <w:spacing w:beforeLines="30" w:before="85" w:afterLines="30" w:after="85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50573">
        <w:rPr>
          <w:rFonts w:ascii="ＭＳ ゴシック" w:eastAsia="ＭＳ ゴシック" w:hAnsi="ＭＳ ゴシック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2A71D0" wp14:editId="325D31A6">
                <wp:simplePos x="0" y="0"/>
                <wp:positionH relativeFrom="column">
                  <wp:posOffset>4832985</wp:posOffset>
                </wp:positionH>
                <wp:positionV relativeFrom="paragraph">
                  <wp:posOffset>22860</wp:posOffset>
                </wp:positionV>
                <wp:extent cx="1724025" cy="457200"/>
                <wp:effectExtent l="0" t="0" r="2857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573" w:rsidRPr="00850573" w:rsidRDefault="00850573" w:rsidP="00850573">
                            <w:pPr>
                              <w:rPr>
                                <w:rFonts w:ascii="メイリオ" w:eastAsia="メイリオ" w:hAnsi="メイリオ" w:hint="eastAsia"/>
                                <w:color w:val="FF0000"/>
                                <w:szCs w:val="21"/>
                              </w:rPr>
                            </w:pPr>
                            <w:r w:rsidRPr="00850573">
                              <w:rPr>
                                <w:rFonts w:ascii="メイリオ" w:eastAsia="メイリオ" w:hAnsi="メイリオ" w:hint="eastAsia"/>
                                <w:color w:val="FF0000"/>
                                <w:szCs w:val="21"/>
                              </w:rPr>
                              <w:t>朱書き：今回追加</w:t>
                            </w:r>
                            <w:r w:rsidRPr="00850573">
                              <w:rPr>
                                <w:rFonts w:ascii="メイリオ" w:eastAsia="メイリオ" w:hAnsi="メイリオ"/>
                                <w:color w:val="FF0000"/>
                                <w:szCs w:val="21"/>
                              </w:rPr>
                              <w:t>した</w:t>
                            </w:r>
                            <w:r w:rsidRPr="00850573">
                              <w:rPr>
                                <w:rFonts w:ascii="メイリオ" w:eastAsia="メイリオ" w:hAnsi="メイリオ" w:hint="eastAsia"/>
                                <w:color w:val="FF0000"/>
                                <w:szCs w:val="21"/>
                              </w:rPr>
                              <w:t>項目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A71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0.55pt;margin-top:1.8pt;width:135.75pt;height:3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" strokecolor="red">
                <v:textbox>
                  <w:txbxContent>
                    <w:p w:rsidR="00850573" w:rsidRPr="00850573" w:rsidRDefault="00850573" w:rsidP="00850573">
                      <w:pPr>
                        <w:rPr>
                          <w:rFonts w:ascii="メイリオ" w:eastAsia="メイリオ" w:hAnsi="メイリオ" w:hint="eastAsia"/>
                          <w:color w:val="FF0000"/>
                          <w:szCs w:val="21"/>
                        </w:rPr>
                      </w:pPr>
                      <w:r w:rsidRPr="00850573">
                        <w:rPr>
                          <w:rFonts w:ascii="メイリオ" w:eastAsia="メイリオ" w:hAnsi="メイリオ" w:hint="eastAsia"/>
                          <w:color w:val="FF0000"/>
                          <w:szCs w:val="21"/>
                        </w:rPr>
                        <w:t>朱書き：今回追加</w:t>
                      </w:r>
                      <w:r w:rsidRPr="00850573">
                        <w:rPr>
                          <w:rFonts w:ascii="メイリオ" w:eastAsia="メイリオ" w:hAnsi="メイリオ"/>
                          <w:color w:val="FF0000"/>
                          <w:szCs w:val="21"/>
                        </w:rPr>
                        <w:t>した</w:t>
                      </w:r>
                      <w:r w:rsidRPr="00850573">
                        <w:rPr>
                          <w:rFonts w:ascii="メイリオ" w:eastAsia="メイリオ" w:hAnsi="メイリオ" w:hint="eastAsia"/>
                          <w:color w:val="FF0000"/>
                          <w:szCs w:val="21"/>
                        </w:rPr>
                        <w:t>項目</w:t>
                      </w:r>
                    </w:p>
                  </w:txbxContent>
                </v:textbox>
              </v:shape>
            </w:pict>
          </mc:Fallback>
        </mc:AlternateContent>
      </w:r>
      <w:r w:rsidR="0039540B" w:rsidRPr="0039540B">
        <w:rPr>
          <w:rFonts w:asciiTheme="majorEastAsia" w:eastAsiaTheme="majorEastAsia" w:hAnsiTheme="majorEastAsia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-275590</wp:posOffset>
                </wp:positionV>
                <wp:extent cx="685800" cy="1404620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40B" w:rsidRDefault="0039540B">
                            <w:r>
                              <w:rPr>
                                <w:rFonts w:hint="eastAsia"/>
                              </w:rPr>
                              <w:t>【参考】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0;margin-top:-21.7pt;width:54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" stroked="f">
                <v:textbox style="mso-fit-shape-to-text:t">
                  <w:txbxContent>
                    <w:p w:rsidR="0039540B" w:rsidRDefault="0039540B">
                      <w:r>
                        <w:rPr>
                          <w:rFonts w:hint="eastAsia"/>
                        </w:rPr>
                        <w:t>【参考】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4BB" w:rsidRPr="00FF2386">
        <w:rPr>
          <w:rFonts w:asciiTheme="majorEastAsia" w:eastAsiaTheme="majorEastAsia" w:hAnsiTheme="majorEastAsia" w:hint="eastAsia"/>
          <w:b/>
          <w:sz w:val="28"/>
          <w:szCs w:val="28"/>
        </w:rPr>
        <w:t>講話内容の一例</w:t>
      </w:r>
      <w:r w:rsidR="005C6E98" w:rsidRPr="00FF2386">
        <w:rPr>
          <w:rFonts w:asciiTheme="majorEastAsia" w:eastAsiaTheme="majorEastAsia" w:hAnsiTheme="majorEastAsia" w:hint="eastAsia"/>
          <w:b/>
          <w:sz w:val="28"/>
          <w:szCs w:val="28"/>
        </w:rPr>
        <w:t>紹介</w:t>
      </w:r>
    </w:p>
    <w:p w:rsidR="00527B29" w:rsidRPr="00686C6C" w:rsidRDefault="00EA4C19" w:rsidP="008577EC">
      <w:pPr>
        <w:spacing w:beforeLines="50" w:before="143" w:afterLines="30" w:after="85" w:line="28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00737C">
        <w:rPr>
          <w:rFonts w:asciiTheme="majorEastAsia" w:eastAsiaTheme="majorEastAsia" w:hAnsiTheme="majorEastAsia" w:hint="eastAsia"/>
          <w:szCs w:val="21"/>
        </w:rPr>
        <w:t>令和４年</w:t>
      </w:r>
      <w:r w:rsidR="00C37DFE">
        <w:rPr>
          <w:rFonts w:asciiTheme="majorEastAsia" w:eastAsiaTheme="majorEastAsia" w:hAnsiTheme="majorEastAsia" w:hint="eastAsia"/>
          <w:szCs w:val="21"/>
        </w:rPr>
        <w:t>４月</w:t>
      </w:r>
      <w:r w:rsidR="0000737C">
        <w:rPr>
          <w:rFonts w:asciiTheme="majorEastAsia" w:eastAsiaTheme="majorEastAsia" w:hAnsiTheme="majorEastAsia" w:hint="eastAsia"/>
          <w:szCs w:val="21"/>
        </w:rPr>
        <w:t>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</w:t>
      </w:r>
      <w:r w:rsidR="00DD7858">
        <w:rPr>
          <w:rFonts w:asciiTheme="majorEastAsia" w:eastAsiaTheme="majorEastAsia" w:hAnsiTheme="majorEastAsia" w:hint="eastAsia"/>
          <w:szCs w:val="21"/>
        </w:rPr>
        <w:t>られた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Default="00527B29" w:rsidP="008577EC">
      <w:pPr>
        <w:spacing w:beforeLines="50" w:before="143" w:afterLines="30" w:after="85" w:line="28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1D53EC" w:rsidRPr="00686C6C" w:rsidRDefault="001D53EC" w:rsidP="00FF2386">
      <w:pPr>
        <w:spacing w:beforeLines="50" w:before="143" w:afterLines="30" w:after="85" w:line="4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</w:p>
    <w:p w:rsidR="00D97927" w:rsidRPr="00EA4C19" w:rsidRDefault="00EA4C19" w:rsidP="00527B29">
      <w:pPr>
        <w:spacing w:beforeLines="50" w:before="143" w:afterLines="30" w:after="85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396"/>
        </w:trPr>
        <w:tc>
          <w:tcPr>
            <w:tcW w:w="2826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容</w:t>
            </w:r>
          </w:p>
        </w:tc>
      </w:tr>
      <w:tr w:rsidR="00686C6C" w:rsidRPr="00686C6C" w:rsidTr="008577EC">
        <w:trPr>
          <w:trHeight w:val="1054"/>
        </w:trPr>
        <w:tc>
          <w:tcPr>
            <w:tcW w:w="2826" w:type="dxa"/>
          </w:tcPr>
          <w:p w:rsidR="005C06BA" w:rsidRPr="00686C6C" w:rsidRDefault="00BC2ACC" w:rsidP="008577EC">
            <w:pPr>
              <w:spacing w:beforeLines="20" w:before="57" w:afterLines="20" w:after="57" w:line="300" w:lineRule="exact"/>
              <w:ind w:left="144" w:hangingChars="80" w:hanging="14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87" w:type="dxa"/>
          </w:tcPr>
          <w:p w:rsidR="00907909" w:rsidRPr="00686C6C" w:rsidRDefault="00C537C7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  <w:bookmarkStart w:id="0" w:name="_GoBack"/>
        <w:bookmarkEnd w:id="0"/>
      </w:tr>
      <w:tr w:rsidR="00686C6C" w:rsidRPr="00686C6C" w:rsidTr="00377AD3">
        <w:trPr>
          <w:trHeight w:val="536"/>
        </w:trPr>
        <w:tc>
          <w:tcPr>
            <w:tcW w:w="2826" w:type="dxa"/>
            <w:tcBorders>
              <w:bottom w:val="single" w:sz="4" w:space="0" w:color="auto"/>
            </w:tcBorders>
          </w:tcPr>
          <w:p w:rsidR="005C06BA" w:rsidRPr="00686C6C" w:rsidRDefault="00BC2ACC" w:rsidP="008577EC">
            <w:pPr>
              <w:spacing w:beforeLines="20" w:before="57" w:afterLines="20" w:after="57" w:line="300" w:lineRule="exact"/>
              <w:ind w:left="144" w:hangingChars="80" w:hanging="14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  <w:r w:rsidR="004A7F63" w:rsidRPr="004A7F63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・資産形成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70182B" w:rsidRPr="00686C6C" w:rsidRDefault="00416E7C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Default="00480EAE" w:rsidP="008577EC">
            <w:pPr>
              <w:spacing w:beforeLines="20" w:before="57" w:afterLines="20" w:after="57" w:line="300" w:lineRule="exact"/>
              <w:ind w:left="153" w:hangingChars="85" w:hanging="15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  <w:p w:rsidR="008F3B0E" w:rsidRPr="008F3B0E" w:rsidRDefault="008F3B0E" w:rsidP="008577EC">
            <w:pPr>
              <w:spacing w:beforeLines="20" w:before="57" w:afterLines="20" w:after="57" w:line="300" w:lineRule="exact"/>
              <w:ind w:left="154" w:hangingChars="85" w:hanging="154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8F3B0E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●</w:t>
            </w:r>
            <w:r w:rsidR="004A7F63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資産運用の基礎知識</w:t>
            </w:r>
          </w:p>
        </w:tc>
      </w:tr>
      <w:tr w:rsidR="00686C6C" w:rsidRPr="00686C6C" w:rsidTr="00377AD3">
        <w:trPr>
          <w:trHeight w:val="561"/>
        </w:trPr>
        <w:tc>
          <w:tcPr>
            <w:tcW w:w="2826" w:type="dxa"/>
          </w:tcPr>
          <w:p w:rsidR="00EC23EB" w:rsidRPr="00686C6C" w:rsidRDefault="00BC2ACC" w:rsidP="008577EC">
            <w:pPr>
              <w:spacing w:beforeLines="20" w:before="57" w:afterLines="20" w:after="57" w:line="300" w:lineRule="exact"/>
              <w:ind w:left="157" w:hangingChars="87" w:hanging="157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</w:t>
            </w:r>
          </w:p>
        </w:tc>
        <w:tc>
          <w:tcPr>
            <w:tcW w:w="7087" w:type="dxa"/>
          </w:tcPr>
          <w:p w:rsidR="00EC23EB" w:rsidRDefault="00EC23EB" w:rsidP="008577EC">
            <w:pPr>
              <w:spacing w:beforeLines="20" w:before="57" w:afterLines="20" w:after="57" w:line="300" w:lineRule="exact"/>
              <w:ind w:left="163" w:hangingChars="90" w:hanging="16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金融と経済の基礎知識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CD00AD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金融と金利</w:t>
            </w:r>
          </w:p>
          <w:p w:rsidR="00CD00AD" w:rsidRPr="00686C6C" w:rsidRDefault="00466D27" w:rsidP="008577EC">
            <w:pPr>
              <w:spacing w:beforeLines="20" w:before="57" w:afterLines="20" w:after="57" w:line="300" w:lineRule="exact"/>
              <w:ind w:left="163" w:hangingChars="90" w:hanging="163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:rsidTr="008577EC">
        <w:trPr>
          <w:trHeight w:val="1346"/>
        </w:trPr>
        <w:tc>
          <w:tcPr>
            <w:tcW w:w="2826" w:type="dxa"/>
          </w:tcPr>
          <w:p w:rsidR="00F207F7" w:rsidRPr="00686C6C" w:rsidRDefault="00BC2ACC" w:rsidP="008577EC">
            <w:pPr>
              <w:spacing w:beforeLines="20" w:before="57" w:afterLines="20" w:after="57" w:line="300" w:lineRule="exact"/>
              <w:ind w:left="116" w:hangingChars="64" w:hanging="11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87" w:type="dxa"/>
          </w:tcPr>
          <w:p w:rsidR="00907909" w:rsidRPr="00686C6C" w:rsidRDefault="00F207F7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8577EC">
            <w:pPr>
              <w:spacing w:beforeLines="20" w:before="57" w:afterLines="20" w:after="57" w:line="300" w:lineRule="exact"/>
              <w:ind w:left="112" w:hangingChars="62" w:hanging="11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D307FF" w:rsidRPr="00686C6C" w:rsidRDefault="00D307FF" w:rsidP="00FF2386">
      <w:pPr>
        <w:spacing w:beforeLines="50" w:before="143" w:afterLines="30" w:after="85" w:line="4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</w:p>
    <w:p w:rsidR="005D22F9" w:rsidRPr="00EA4C19" w:rsidRDefault="005D22F9" w:rsidP="0046338C">
      <w:pPr>
        <w:spacing w:beforeLines="50" w:before="143" w:afterLines="30" w:after="85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9913" w:type="dxa"/>
        <w:tblInd w:w="288" w:type="dxa"/>
        <w:tblLook w:val="04A0" w:firstRow="1" w:lastRow="0" w:firstColumn="1" w:lastColumn="0" w:noHBand="0" w:noVBand="1"/>
      </w:tblPr>
      <w:tblGrid>
        <w:gridCol w:w="2826"/>
        <w:gridCol w:w="7087"/>
      </w:tblGrid>
      <w:tr w:rsidR="00686C6C" w:rsidRPr="00686C6C" w:rsidTr="00377AD3">
        <w:trPr>
          <w:trHeight w:val="472"/>
        </w:trPr>
        <w:tc>
          <w:tcPr>
            <w:tcW w:w="2826" w:type="dxa"/>
            <w:vAlign w:val="center"/>
          </w:tcPr>
          <w:p w:rsidR="005D22F9" w:rsidRPr="00686C6C" w:rsidRDefault="005D22F9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87" w:type="dxa"/>
            <w:vAlign w:val="center"/>
          </w:tcPr>
          <w:p w:rsidR="005D22F9" w:rsidRPr="00686C6C" w:rsidRDefault="004910E6" w:rsidP="008577EC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</w:t>
            </w:r>
            <w:r w:rsidR="0039540B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容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8577EC">
            <w:pPr>
              <w:spacing w:beforeLines="20" w:before="57" w:afterLines="20" w:after="57" w:line="300" w:lineRule="exact"/>
              <w:ind w:left="314" w:hangingChars="174" w:hanging="314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新生活に必要な金融の基礎的な感覚・知識</w:t>
            </w:r>
          </w:p>
        </w:tc>
        <w:tc>
          <w:tcPr>
            <w:tcW w:w="7087" w:type="dxa"/>
          </w:tcPr>
          <w:p w:rsidR="004910E6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377AD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8F3B0E" w:rsidRPr="00686C6C" w:rsidRDefault="008F3B0E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4780E">
              <w:rPr>
                <w:rFonts w:asciiTheme="majorEastAsia" w:eastAsiaTheme="majorEastAsia" w:hAnsiTheme="majorEastAsia" w:hint="eastAsia"/>
                <w:color w:val="FF0000"/>
                <w:sz w:val="20"/>
                <w:szCs w:val="20"/>
              </w:rPr>
              <w:t>●</w:t>
            </w:r>
            <w:r w:rsidR="004A7F63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資産運用の基礎知識</w:t>
            </w:r>
          </w:p>
          <w:p w:rsidR="000A04EA" w:rsidRPr="00686C6C" w:rsidRDefault="000A04EA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  <w:r w:rsidR="008F3B0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8577EC">
            <w:pPr>
              <w:spacing w:beforeLines="20" w:before="57" w:afterLines="20" w:after="57" w:line="300" w:lineRule="exact"/>
              <w:ind w:left="181" w:rightChars="-85" w:right="-162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377AD3">
        <w:tc>
          <w:tcPr>
            <w:tcW w:w="2826" w:type="dxa"/>
          </w:tcPr>
          <w:p w:rsidR="005D22F9" w:rsidRPr="00686C6C" w:rsidRDefault="00BC2ACC" w:rsidP="008577EC">
            <w:pPr>
              <w:spacing w:beforeLines="20" w:before="57" w:afterLines="20" w:after="57" w:line="300" w:lineRule="exact"/>
              <w:ind w:left="2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87" w:type="dxa"/>
          </w:tcPr>
          <w:p w:rsidR="00071062" w:rsidRPr="00686C6C" w:rsidRDefault="004910E6" w:rsidP="008577EC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8577EC">
            <w:pPr>
              <w:spacing w:beforeLines="20" w:before="57" w:afterLines="20" w:after="57" w:line="30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D307FF" w:rsidRPr="00686C6C" w:rsidRDefault="00D307FF" w:rsidP="00FF2386">
      <w:pPr>
        <w:spacing w:beforeLines="50" w:before="143" w:afterLines="30" w:after="85" w:line="40" w:lineRule="exact"/>
        <w:ind w:left="326" w:hangingChars="171" w:hanging="326"/>
        <w:rPr>
          <w:rFonts w:asciiTheme="majorEastAsia" w:eastAsiaTheme="majorEastAsia" w:hAnsiTheme="majorEastAsia"/>
          <w:szCs w:val="21"/>
        </w:rPr>
      </w:pPr>
    </w:p>
    <w:p w:rsidR="0039540B" w:rsidRDefault="000D108E" w:rsidP="0039540B">
      <w:pPr>
        <w:spacing w:beforeLines="50" w:before="143" w:afterLines="30" w:after="85"/>
        <w:jc w:val="left"/>
        <w:rPr>
          <w:rFonts w:asciiTheme="majorEastAsia" w:eastAsiaTheme="majorEastAsia" w:hAnsiTheme="majorEastAsia"/>
          <w:b/>
          <w:color w:val="FF0000"/>
          <w:szCs w:val="21"/>
          <w:shd w:val="pct15" w:color="auto" w:fill="FFFFFF"/>
        </w:rPr>
      </w:pPr>
      <w:r w:rsidRPr="0039540B">
        <w:rPr>
          <w:rFonts w:asciiTheme="majorEastAsia" w:eastAsiaTheme="majorEastAsia" w:hAnsiTheme="majorEastAsia" w:hint="eastAsia"/>
          <w:b/>
          <w:color w:val="FF0000"/>
          <w:szCs w:val="21"/>
          <w:shd w:val="pct15" w:color="auto" w:fill="FFFFFF"/>
        </w:rPr>
        <w:t>おすすめのプログラム例</w:t>
      </w:r>
    </w:p>
    <w:p w:rsidR="00D3022B" w:rsidRPr="0039540B" w:rsidRDefault="008577EC" w:rsidP="0039540B">
      <w:pPr>
        <w:spacing w:beforeLines="50" w:before="143" w:afterLines="30" w:after="85"/>
        <w:ind w:leftChars="100" w:left="191" w:firstLineChars="100" w:firstLine="191"/>
        <w:jc w:val="left"/>
        <w:rPr>
          <w:rFonts w:asciiTheme="majorEastAsia" w:eastAsiaTheme="majorEastAsia" w:hAnsiTheme="majorEastAsia"/>
          <w:b/>
          <w:color w:val="FF0000"/>
          <w:szCs w:val="21"/>
          <w:shd w:val="pct15" w:color="auto" w:fill="FFFFFF"/>
        </w:rPr>
      </w:pPr>
      <w:r w:rsidRPr="0039540B">
        <w:rPr>
          <w:rFonts w:asciiTheme="majorEastAsia" w:eastAsiaTheme="majorEastAsia" w:hAnsiTheme="majorEastAsia" w:hint="eastAsia"/>
          <w:b/>
          <w:color w:val="FF0000"/>
          <w:szCs w:val="21"/>
        </w:rPr>
        <w:t>金融教育は、学年の順を追って</w:t>
      </w:r>
      <w:r w:rsidRPr="0039540B">
        <w:rPr>
          <w:rFonts w:asciiTheme="majorEastAsia" w:eastAsiaTheme="majorEastAsia" w:hAnsiTheme="majorEastAsia" w:hint="eastAsia"/>
          <w:b/>
          <w:color w:val="FF0000"/>
          <w:szCs w:val="21"/>
          <w:u w:val="single"/>
        </w:rPr>
        <w:t>３年間実施</w:t>
      </w:r>
      <w:r w:rsidRPr="0039540B">
        <w:rPr>
          <w:rFonts w:asciiTheme="majorEastAsia" w:eastAsiaTheme="majorEastAsia" w:hAnsiTheme="majorEastAsia" w:hint="eastAsia"/>
          <w:b/>
          <w:color w:val="FF0000"/>
          <w:szCs w:val="21"/>
        </w:rPr>
        <w:t>することでより深い理解に繋がることから、</w:t>
      </w:r>
      <w:r w:rsidR="0039540B">
        <w:rPr>
          <w:rFonts w:asciiTheme="majorEastAsia" w:eastAsiaTheme="majorEastAsia" w:hAnsiTheme="majorEastAsia" w:hint="eastAsia"/>
          <w:b/>
          <w:color w:val="FF0000"/>
          <w:szCs w:val="21"/>
        </w:rPr>
        <w:t>各学年で</w:t>
      </w:r>
      <w:r w:rsidRPr="0039540B">
        <w:rPr>
          <w:rFonts w:asciiTheme="majorEastAsia" w:eastAsiaTheme="majorEastAsia" w:hAnsiTheme="majorEastAsia" w:hint="eastAsia"/>
          <w:b/>
          <w:color w:val="FF0000"/>
          <w:szCs w:val="21"/>
        </w:rPr>
        <w:t>実施するプログラムの</w:t>
      </w:r>
      <w:r w:rsidR="0039540B">
        <w:rPr>
          <w:rFonts w:asciiTheme="majorEastAsia" w:eastAsiaTheme="majorEastAsia" w:hAnsiTheme="majorEastAsia" w:hint="eastAsia"/>
          <w:b/>
          <w:color w:val="FF0000"/>
          <w:szCs w:val="21"/>
        </w:rPr>
        <w:t>事例</w:t>
      </w:r>
      <w:r w:rsidRPr="0039540B">
        <w:rPr>
          <w:rFonts w:asciiTheme="majorEastAsia" w:eastAsiaTheme="majorEastAsia" w:hAnsiTheme="majorEastAsia" w:hint="eastAsia"/>
          <w:b/>
          <w:color w:val="FF0000"/>
          <w:szCs w:val="21"/>
        </w:rPr>
        <w:t>をご紹介します。</w:t>
      </w:r>
    </w:p>
    <w:tbl>
      <w:tblPr>
        <w:tblStyle w:val="a3"/>
        <w:tblW w:w="6804" w:type="dxa"/>
        <w:tblInd w:w="279" w:type="dxa"/>
        <w:tblLook w:val="04A0" w:firstRow="1" w:lastRow="0" w:firstColumn="1" w:lastColumn="0" w:noHBand="0" w:noVBand="1"/>
      </w:tblPr>
      <w:tblGrid>
        <w:gridCol w:w="1134"/>
        <w:gridCol w:w="5670"/>
      </w:tblGrid>
      <w:tr w:rsidR="008C2C18" w:rsidRPr="0039540B" w:rsidTr="008C2C18">
        <w:tc>
          <w:tcPr>
            <w:tcW w:w="1134" w:type="dxa"/>
          </w:tcPr>
          <w:p w:rsidR="008C2C18" w:rsidRPr="0039540B" w:rsidRDefault="008C2C18" w:rsidP="00FF2386">
            <w:pPr>
              <w:spacing w:beforeLines="20" w:before="57" w:afterLines="20" w:after="57" w:line="300" w:lineRule="exact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</w:p>
        </w:tc>
        <w:tc>
          <w:tcPr>
            <w:tcW w:w="5670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講</w:t>
            </w:r>
            <w:r w:rsid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 xml:space="preserve"> </w:t>
            </w: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話</w:t>
            </w:r>
            <w:r w:rsid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 xml:space="preserve"> </w:t>
            </w: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内</w:t>
            </w:r>
            <w:r w:rsid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 xml:space="preserve"> </w:t>
            </w: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容</w:t>
            </w:r>
          </w:p>
        </w:tc>
      </w:tr>
      <w:tr w:rsidR="0039540B" w:rsidRPr="0039540B" w:rsidTr="008C2C18">
        <w:tc>
          <w:tcPr>
            <w:tcW w:w="1134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１年生</w:t>
            </w:r>
          </w:p>
        </w:tc>
        <w:tc>
          <w:tcPr>
            <w:tcW w:w="5670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家計管理、金融リテラシー</w:t>
            </w:r>
            <w:r w:rsidR="00FF2386"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の基礎</w:t>
            </w:r>
          </w:p>
        </w:tc>
      </w:tr>
      <w:tr w:rsidR="0039540B" w:rsidRPr="0039540B" w:rsidTr="008C2C18">
        <w:tc>
          <w:tcPr>
            <w:tcW w:w="1134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２年生</w:t>
            </w:r>
          </w:p>
        </w:tc>
        <w:tc>
          <w:tcPr>
            <w:tcW w:w="5670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成年年齢引き下げ、奨学金、社会保障</w:t>
            </w:r>
          </w:p>
        </w:tc>
      </w:tr>
      <w:tr w:rsidR="0039540B" w:rsidRPr="0039540B" w:rsidTr="008C2C18">
        <w:tc>
          <w:tcPr>
            <w:tcW w:w="1134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jc w:val="center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３年生</w:t>
            </w:r>
          </w:p>
        </w:tc>
        <w:tc>
          <w:tcPr>
            <w:tcW w:w="5670" w:type="dxa"/>
          </w:tcPr>
          <w:p w:rsidR="008C2C18" w:rsidRPr="0039540B" w:rsidRDefault="008C2C18" w:rsidP="008C2C18">
            <w:pPr>
              <w:spacing w:beforeLines="20" w:before="57" w:afterLines="20" w:after="57" w:line="300" w:lineRule="exact"/>
              <w:ind w:left="181" w:hangingChars="100" w:hanging="181"/>
              <w:jc w:val="left"/>
              <w:rPr>
                <w:rFonts w:asciiTheme="majorEastAsia" w:eastAsiaTheme="majorEastAsia" w:hAnsiTheme="majorEastAsia"/>
                <w:b/>
                <w:color w:val="FF0000"/>
                <w:sz w:val="20"/>
                <w:szCs w:val="20"/>
              </w:rPr>
            </w:pPr>
            <w:r w:rsidRPr="0039540B">
              <w:rPr>
                <w:rFonts w:asciiTheme="majorEastAsia" w:eastAsiaTheme="majorEastAsia" w:hAnsiTheme="majorEastAsia" w:hint="eastAsia"/>
                <w:b/>
                <w:color w:val="FF0000"/>
                <w:sz w:val="20"/>
                <w:szCs w:val="20"/>
              </w:rPr>
              <w:t>１・２年生で学んだことの復習、貯蓄や投資の基礎知識</w:t>
            </w:r>
          </w:p>
        </w:tc>
      </w:tr>
    </w:tbl>
    <w:p w:rsidR="000D108E" w:rsidRPr="00823D0B" w:rsidRDefault="000D108E" w:rsidP="00FF2386">
      <w:pPr>
        <w:spacing w:beforeLines="50" w:before="143"/>
        <w:ind w:right="764"/>
        <w:rPr>
          <w:rFonts w:asciiTheme="majorEastAsia" w:eastAsiaTheme="majorEastAsia" w:hAnsiTheme="majorEastAsia"/>
          <w:b/>
        </w:rPr>
      </w:pPr>
    </w:p>
    <w:sectPr w:rsidR="000D108E" w:rsidRPr="00823D0B" w:rsidSect="0039540B">
      <w:headerReference w:type="default" r:id="rId8"/>
      <w:pgSz w:w="11906" w:h="16838" w:code="9"/>
      <w:pgMar w:top="397" w:right="851" w:bottom="567" w:left="1134" w:header="567" w:footer="992" w:gutter="0"/>
      <w:cols w:space="425"/>
      <w:docGrid w:type="linesAndChars" w:linePitch="286" w:charSpace="-39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2B" w:rsidRDefault="00D302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0D108E"/>
    <w:rsid w:val="001206B1"/>
    <w:rsid w:val="00185D7C"/>
    <w:rsid w:val="001931DC"/>
    <w:rsid w:val="001D53E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77AD3"/>
    <w:rsid w:val="0039540B"/>
    <w:rsid w:val="003E5B33"/>
    <w:rsid w:val="003E5EA7"/>
    <w:rsid w:val="00416E7C"/>
    <w:rsid w:val="00416EDA"/>
    <w:rsid w:val="00437875"/>
    <w:rsid w:val="00451FEA"/>
    <w:rsid w:val="0046338C"/>
    <w:rsid w:val="00466D27"/>
    <w:rsid w:val="004730FD"/>
    <w:rsid w:val="00480EAE"/>
    <w:rsid w:val="004910E6"/>
    <w:rsid w:val="004A7F63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4780E"/>
    <w:rsid w:val="00784C30"/>
    <w:rsid w:val="007C6B2F"/>
    <w:rsid w:val="00823D0B"/>
    <w:rsid w:val="00846C82"/>
    <w:rsid w:val="00850573"/>
    <w:rsid w:val="008577EC"/>
    <w:rsid w:val="00895E4A"/>
    <w:rsid w:val="008B1D62"/>
    <w:rsid w:val="008C2C18"/>
    <w:rsid w:val="008C2C4E"/>
    <w:rsid w:val="008E38D6"/>
    <w:rsid w:val="008E49C2"/>
    <w:rsid w:val="008F3B0E"/>
    <w:rsid w:val="0090135C"/>
    <w:rsid w:val="00907909"/>
    <w:rsid w:val="0096499D"/>
    <w:rsid w:val="0097725C"/>
    <w:rsid w:val="00A674B2"/>
    <w:rsid w:val="00AB613D"/>
    <w:rsid w:val="00AC4946"/>
    <w:rsid w:val="00AC779F"/>
    <w:rsid w:val="00B56248"/>
    <w:rsid w:val="00B76B6B"/>
    <w:rsid w:val="00B95C7A"/>
    <w:rsid w:val="00BC2ACC"/>
    <w:rsid w:val="00C0178B"/>
    <w:rsid w:val="00C12D3A"/>
    <w:rsid w:val="00C21BAA"/>
    <w:rsid w:val="00C37DFE"/>
    <w:rsid w:val="00C537C7"/>
    <w:rsid w:val="00CB5351"/>
    <w:rsid w:val="00CC6955"/>
    <w:rsid w:val="00CD00AD"/>
    <w:rsid w:val="00CF3910"/>
    <w:rsid w:val="00D3022B"/>
    <w:rsid w:val="00D307FF"/>
    <w:rsid w:val="00D428C8"/>
    <w:rsid w:val="00D97927"/>
    <w:rsid w:val="00DB15D5"/>
    <w:rsid w:val="00DD7858"/>
    <w:rsid w:val="00E40D78"/>
    <w:rsid w:val="00E474FE"/>
    <w:rsid w:val="00E5192F"/>
    <w:rsid w:val="00EA4C19"/>
    <w:rsid w:val="00EB6E33"/>
    <w:rsid w:val="00EC23EB"/>
    <w:rsid w:val="00ED1368"/>
    <w:rsid w:val="00F207F7"/>
    <w:rsid w:val="00FD3E15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90F7-9217-4BD0-988D-89107B4BC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2010</dc:creator>
  <cp:lastModifiedBy>015821</cp:lastModifiedBy>
  <cp:revision>7</cp:revision>
  <cp:lastPrinted>2024-01-31T01:57:00Z</cp:lastPrinted>
  <dcterms:created xsi:type="dcterms:W3CDTF">2024-01-31T00:58:00Z</dcterms:created>
  <dcterms:modified xsi:type="dcterms:W3CDTF">2024-01-31T02:06:00Z</dcterms:modified>
</cp:coreProperties>
</file>